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Ashford</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Ashford</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Ashford</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Ashford</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Ashford</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6.8%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Ashford are estimated to have a score of 1-2 on the PGSI (low-risk gambling), whilst </w:t>
      </w:r>
      <w:r w:rsidRPr="00773DF7">
        <w:rPr>
          <w:rFonts w:ascii="Libre Franklin Light" w:hAnsi="Libre Franklin Light" w:cs="Calibri Light"/>
          <w:b/>
          <w:bCs/>
          <w:color w:val="C45911" w:themeColor="accent2" w:themeShade="BF"/>
        </w:rPr>
        <w:t xml:space="preserve">4.4%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1.6%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47.1% </w:t>
      </w:r>
      <w:r w:rsidRPr="004747BF">
        <w:rPr>
          <w:rFonts w:ascii="Libre Franklin Light" w:eastAsia="Times New Roman" w:hAnsi="Libre Franklin Light" w:cs="Calibri Light"/>
        </w:rPr>
        <w:t xml:space="preserve">of those respondents classified as PGSI 8+ in Ashford</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Ashford is estimated to be </w:t>
      </w:r>
      <w:r w:rsidRPr="00773DF7">
        <w:rPr>
          <w:rFonts w:ascii="Libre Franklin Light" w:eastAsia="Times New Roman" w:hAnsi="Libre Franklin Light" w:cs="Calibri Light"/>
          <w:b/>
          <w:bCs/>
          <w:color w:val="C45911" w:themeColor="accent2" w:themeShade="BF"/>
        </w:rPr>
        <w:t xml:space="preserve">£1,572,236</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Ashford</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12.8%</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Ashford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6.8%</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Ashford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4.4%</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Ashford</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1.6%</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Ashford.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Ashford</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Ashford.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Ashford</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6.0%</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15.6%</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Ashford</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47.1%</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Ashford.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Ashford</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4.5%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20.5%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Ashford</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Ashford</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35.3%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Ashford</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Ashford</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Ashford</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£1,572,236</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Ashford</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£25,609</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£529,612</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£37,939</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£10,670</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£19,563</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£948,843</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£1,572,236</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Ashford</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Ashford</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19.0%</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Ashford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17.4%</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Ashford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11.9%</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Ashford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1.7%</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Ashford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50.6%</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Ashford</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19.0%</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Ashford</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17.4%</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Ashford</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11.9%</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Ashford</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Ashford</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50.6%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Ashford</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424407F8-089C-466F-869D-5458B6BE18E6}"/>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